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0034D396" w:rsidR="00D939EA" w:rsidRPr="00D939EA" w:rsidRDefault="001358BC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b/>
          <w:color w:val="auto"/>
          <w:sz w:val="28"/>
          <w:szCs w:val="28"/>
        </w:rPr>
        <w:t>Ministerstvo dopravy a</w:t>
      </w:r>
      <w:r w:rsidR="00D939EA"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5EB87BE5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A269FD">
        <w:rPr>
          <w:rFonts w:ascii="Arial Narrow" w:hAnsi="Arial Narrow" w:cstheme="minorHAnsi"/>
          <w:b/>
          <w:color w:val="auto"/>
          <w:sz w:val="28"/>
          <w:szCs w:val="28"/>
        </w:rPr>
        <w:t>6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61A3094B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OPII-2016/1.1_1.2/ŽSR-6-NP</w:t>
      </w:r>
    </w:p>
    <w:p w14:paraId="1781488E" w14:textId="46A86B38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1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46262F8A" w:rsidR="00B24D97" w:rsidRPr="00B500C8" w:rsidRDefault="00B24D97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04034C">
              <w:rPr>
                <w:rFonts w:ascii="Arial Narrow" w:hAnsi="Arial Narrow"/>
                <w:bCs/>
              </w:rPr>
              <w:t>1 - Železničná infraštruktúra (TEN-T CORE) a obnova mobilných prostriedkov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7844E79D" w14:textId="77777777" w:rsidR="00B24D97" w:rsidRDefault="00B24D97" w:rsidP="00B24D97">
            <w:pPr>
              <w:spacing w:before="120" w:after="120"/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</w:pPr>
            <w:r w:rsidRPr="00D45093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7i): Podpora multimodálneho jednotného európskeho dopravného priestoru pomocou investícií do TEN-T</w:t>
            </w:r>
          </w:p>
          <w:p w14:paraId="067657B7" w14:textId="41FAA610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94005A">
              <w:rPr>
                <w:bCs/>
              </w:rPr>
              <w:t>7</w:t>
            </w:r>
            <w:r>
              <w:rPr>
                <w:bCs/>
              </w:rPr>
              <w:t>ii</w:t>
            </w:r>
            <w:r w:rsidRPr="0094005A">
              <w:rPr>
                <w:bCs/>
              </w:rPr>
              <w:t xml:space="preserve">i): </w:t>
            </w:r>
            <w:r w:rsidRPr="0094005A">
              <w:rPr>
                <w:rFonts w:ascii="Arial Narrow" w:hAnsi="Arial Narrow"/>
                <w:bCs/>
              </w:rPr>
              <w:t>Vývoj a modernizácia komplexných, interoperabilných železničných systémov vysokej kvality a podpora opatrení na znižovanie hluku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2C3A0E7" w14:textId="77777777" w:rsidR="00B24D97" w:rsidRDefault="00B24D97" w:rsidP="00B24D97">
            <w:pPr>
              <w:spacing w:before="120" w:after="120"/>
              <w:rPr>
                <w:rFonts w:ascii="Arial Narrow" w:hAnsi="Arial Narrow"/>
              </w:rPr>
            </w:pPr>
            <w:r w:rsidRPr="0004034C">
              <w:rPr>
                <w:rFonts w:ascii="Arial Narrow" w:hAnsi="Arial Narrow"/>
              </w:rPr>
              <w:t>1.1  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  <w:p w14:paraId="06009D15" w14:textId="47C180FD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7401B">
              <w:rPr>
                <w:rFonts w:ascii="Arial Narrow" w:hAnsi="Arial Narrow"/>
              </w:rPr>
              <w:t>1.2 Zlepšenie technických podmienok pre prevádzku medzinárodnej železničnej dopravy prostredníctvom implementácie vybraných prvkov TSI na najdôležitejších tratiach pre medzinárodnú dopravu (TEN-T CORE)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748D1">
              <w:rPr>
                <w:rFonts w:ascii="Arial Narrow" w:hAnsi="Arial Narrow" w:cstheme="minorHAnsi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0917EF5F" w:rsidR="00B24D97" w:rsidRPr="00B500C8" w:rsidRDefault="00B24D97" w:rsidP="00D556E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D556ED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4FAAEC9E" w14:textId="77777777" w:rsidR="00E80268" w:rsidRPr="00392A92" w:rsidRDefault="00E80268" w:rsidP="00E8026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29.6.2018</w:t>
      </w:r>
    </w:p>
    <w:p w14:paraId="6B444F60" w14:textId="77777777" w:rsidR="00E80268" w:rsidRPr="008D26BB" w:rsidRDefault="00E80268" w:rsidP="00E80268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1.7.2018</w:t>
      </w:r>
    </w:p>
    <w:p w14:paraId="2C3F1DC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1C2882F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796805EB" w14:textId="77777777" w:rsidR="00A77681" w:rsidRDefault="00A7768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A77681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04D5B096" w14:textId="26B808F3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405A888" w14:textId="77777777" w:rsidR="00E80268" w:rsidRDefault="00E80268" w:rsidP="00E8026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81F2918" w14:textId="77777777" w:rsidR="00E80268" w:rsidRPr="00392A92" w:rsidRDefault="00E80268" w:rsidP="00E8026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3E7866B2" w14:textId="77777777" w:rsidR="00E80268" w:rsidRPr="00392A92" w:rsidRDefault="00E80268" w:rsidP="00E8026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2C088080" w14:textId="77777777" w:rsidR="00E80268" w:rsidRPr="00392A92" w:rsidRDefault="00E80268" w:rsidP="00E8026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Príloha vyzvania č. 1a Formulár ŽoNFP a č. 1b Formulár ŽoNFP – popis</w:t>
      </w:r>
    </w:p>
    <w:p w14:paraId="5D366D10" w14:textId="784A127C" w:rsidR="00E80268" w:rsidRPr="00392A92" w:rsidRDefault="00E80268" w:rsidP="00E8026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392A92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</w:t>
      </w:r>
    </w:p>
    <w:p w14:paraId="0C02F25B" w14:textId="6BA0FFBA" w:rsidR="00E80268" w:rsidRPr="00392A92" w:rsidRDefault="00E80268" w:rsidP="00E8026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392A92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 </w:t>
      </w:r>
    </w:p>
    <w:p w14:paraId="681843FB" w14:textId="77777777" w:rsidR="00E80268" w:rsidRDefault="00E80268" w:rsidP="00E80268">
      <w:pPr>
        <w:pStyle w:val="Default"/>
        <w:rPr>
          <w:b/>
          <w:bCs/>
          <w:sz w:val="23"/>
          <w:szCs w:val="23"/>
        </w:rPr>
      </w:pPr>
    </w:p>
    <w:p w14:paraId="05F4D37F" w14:textId="77777777" w:rsidR="00E80268" w:rsidRDefault="00E80268" w:rsidP="00E8026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1C62646A" w14:textId="77777777" w:rsidR="00E80268" w:rsidRDefault="00E80268" w:rsidP="00E8026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33B25589" w14:textId="77777777" w:rsidR="00E80268" w:rsidRPr="00392A92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doplnenie časti 4 Identifikácia synergických a komplementárnych účinkov v súlade so Vzorom CKO č. 7, verzia 4, </w:t>
      </w:r>
    </w:p>
    <w:p w14:paraId="5B882CBA" w14:textId="77777777" w:rsidR="00E80268" w:rsidRPr="00392A92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spresnenie postupu predkladania ŽoNFP elektronicky aj priamo v ITMS2014+,</w:t>
      </w:r>
    </w:p>
    <w:p w14:paraId="1228D21C" w14:textId="77777777" w:rsidR="00E80268" w:rsidRPr="00392A92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úprava popisu PPP znečisťovateľ platí v súlade s odporúčaním gestora HP UR,</w:t>
      </w:r>
    </w:p>
    <w:p w14:paraId="43113D49" w14:textId="77777777" w:rsidR="00E80268" w:rsidRPr="00392A92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doplnenie PPP k HP o odporúčanie uplatňovať zelené VO,</w:t>
      </w:r>
    </w:p>
    <w:p w14:paraId="0768ED71" w14:textId="1A7F7224" w:rsidR="00E80268" w:rsidRDefault="00E80268" w:rsidP="00E80268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zosúladenie so Systém</w:t>
      </w:r>
      <w:r>
        <w:rPr>
          <w:rFonts w:ascii="Arial Narrow" w:hAnsi="Arial Narrow" w:cstheme="minorHAnsi"/>
          <w:sz w:val="22"/>
          <w:szCs w:val="22"/>
        </w:rPr>
        <w:t>om</w:t>
      </w:r>
      <w:r w:rsidRPr="00392A92">
        <w:rPr>
          <w:rFonts w:ascii="Arial Narrow" w:hAnsi="Arial Narrow" w:cstheme="minorHAnsi"/>
          <w:sz w:val="22"/>
          <w:szCs w:val="22"/>
        </w:rPr>
        <w:t xml:space="preserve"> finančného riadenia štrukturálnych fondov, Kohézneho fondu a Európskeho námorného a rybárskeho fondu na programové obdobie 2014 – 2020 ohľadom spôsobu financovania systémom zálohových platieb, </w:t>
      </w:r>
    </w:p>
    <w:p w14:paraId="5F69CC4F" w14:textId="77777777" w:rsidR="00E80268" w:rsidRPr="00F07438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78CFDEBE" w14:textId="77777777" w:rsidR="00E80268" w:rsidRPr="00C60C4E" w:rsidRDefault="00E80268" w:rsidP="00E8026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1a Formulár ŽoNFP a č. 1b Formulár ŽoNFP – popis: </w:t>
      </w:r>
    </w:p>
    <w:p w14:paraId="59A11C61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pôvodná príloha č. 1 Formulár ŽoNFP bola nahradená prílohami č. 1a Formulár ŽoNFP a č. 1b Formulár ŽoNFP – popis za účelom zosúladenia so SR EŠIF a zjednodušenia pre žiadateľa – podmienky poskytnutia príspevku relevantné pre dané vyzvanie sú uvedené iba v samotnom vyzvaní a ich spôsob overenia a forma preukázania splnenia sú uvedené v Príručke pre žiadateľa (</w:t>
      </w:r>
      <w:r>
        <w:rPr>
          <w:rFonts w:ascii="Arial Narrow" w:hAnsi="Arial Narrow" w:cstheme="minorHAnsi"/>
          <w:sz w:val="22"/>
          <w:szCs w:val="22"/>
        </w:rPr>
        <w:t xml:space="preserve">vďaka zmene </w:t>
      </w:r>
      <w:r w:rsidRPr="00C60C4E">
        <w:rPr>
          <w:rFonts w:ascii="Arial Narrow" w:hAnsi="Arial Narrow" w:cstheme="minorHAnsi"/>
          <w:sz w:val="22"/>
          <w:szCs w:val="22"/>
        </w:rPr>
        <w:t>nie je potrebné pracovať aj s Formulárom ŽoNFP v prípade podmienok poskytnutia príspevku),</w:t>
      </w:r>
    </w:p>
    <w:p w14:paraId="14CA8ABC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do prílohy č. 1b Formulár ŽoNFP - popis bol doplnený pokyn na vypĺňanie v časti 5 Identifikácia projektu pre Hospodársku činnosť.</w:t>
      </w:r>
    </w:p>
    <w:p w14:paraId="39390B70" w14:textId="77777777" w:rsidR="00E80268" w:rsidRPr="00C60C4E" w:rsidRDefault="00E80268" w:rsidP="00E8026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údajov:</w:t>
      </w:r>
    </w:p>
    <w:p w14:paraId="5C78A9EB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spresnenie postupu predkladania ŽoNFP elektronicky aj v ITMS2014+,</w:t>
      </w:r>
    </w:p>
    <w:p w14:paraId="1C1B7B3C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podmienka poskytnutia príspevku č. 27 „Podmienka oprávnenosti z hľadiska súladu s horizontálnymi princípmi“ bola zosúladená so závermi z porady s gestorom HP (žiadateľ bude povinný predložiť na RO OPII súhlasné stanovisko gestora HP),</w:t>
      </w:r>
    </w:p>
    <w:p w14:paraId="65535E9F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23 „Podmienka, že žiadateľ má vysporiadané majetkovo-právne vzťahy a povolenia na realizáciu aktivít projektu“ doplnenie popisu podmienky v súlade so Vzorom CKO č. 7, verzia 4,</w:t>
      </w:r>
    </w:p>
    <w:p w14:paraId="4A61F1F2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15 Podmienka, že výdavky projektu sú oprávnené a v Prílohe č. 1b PpŽ bol spresnený spôsob overenia a forma preukázania splnenia PPP,</w:t>
      </w:r>
    </w:p>
    <w:p w14:paraId="2A8BB83E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v popise k podmienkam poskytnutia príspevku pod tab. č. 2 bola doplnená povinnosť ohľadom predkladania čestného vyhlásenia v prípade projektov realizovaných v zmysle procesu </w:t>
      </w:r>
      <w:r>
        <w:rPr>
          <w:rFonts w:ascii="Arial Narrow" w:hAnsi="Arial Narrow" w:cstheme="minorHAnsi"/>
          <w:sz w:val="22"/>
          <w:szCs w:val="22"/>
        </w:rPr>
        <w:t xml:space="preserve">podľa </w:t>
      </w:r>
      <w:r w:rsidRPr="00C60C4E">
        <w:rPr>
          <w:rFonts w:ascii="Arial Narrow" w:hAnsi="Arial Narrow" w:cstheme="minorHAnsi"/>
          <w:sz w:val="22"/>
          <w:szCs w:val="22"/>
        </w:rPr>
        <w:t>žltej knihy FIDIC,</w:t>
      </w:r>
    </w:p>
    <w:p w14:paraId="4D27E882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 do PO 5.1, typ aktivity A doplnený MU P0774 Úspora produkcie emisií CO2 (vplyvom elektrifikácie tratí),</w:t>
      </w:r>
    </w:p>
    <w:p w14:paraId="0F0F8FBB" w14:textId="77777777" w:rsidR="00E80268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boli v PO 1.1 merateľné ukazovatele č. P0666 a P0673 označené ako povinné MU,</w:t>
      </w:r>
    </w:p>
    <w:p w14:paraId="6309BDDE" w14:textId="77777777" w:rsidR="00E80268" w:rsidRPr="00E80268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bookmarkStart w:id="0" w:name="_GoBack"/>
      <w:bookmarkEnd w:id="0"/>
      <w:r w:rsidRPr="00E80268">
        <w:rPr>
          <w:rFonts w:ascii="Arial Narrow" w:hAnsi="Arial Narrow" w:cstheme="minorHAnsi"/>
          <w:sz w:val="22"/>
          <w:szCs w:val="22"/>
        </w:rPr>
        <w:t>– v prílohe PpŽ č. 2 Merateľné ukazovatele bol do PO 1.1, typ aktivity A doplnený MU č. P0903 Počet obstaraných nových dráhových diagnostických vozidiel,</w:t>
      </w:r>
    </w:p>
    <w:p w14:paraId="07C5CBB0" w14:textId="264A9464" w:rsidR="00E80268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80268">
        <w:rPr>
          <w:rFonts w:ascii="Arial Narrow" w:hAnsi="Arial Narrow" w:cstheme="minorHAnsi"/>
          <w:sz w:val="22"/>
          <w:szCs w:val="22"/>
        </w:rPr>
        <w:t>– v prílohe PpŽ č. 2 Merateľné ukazovatele bola v PO 1.1, typ aktivity A upravená merná jednotka MU č. P0012 Celková dĺžka nových alebo zmodernizovaných nástupíšť (základná sieť TEN-T) z „km“ na „m“,</w:t>
      </w:r>
      <w:r>
        <w:rPr>
          <w:rFonts w:ascii="Arial Narrow" w:hAnsi="Arial Narrow" w:cstheme="minorHAnsi"/>
          <w:sz w:val="22"/>
          <w:szCs w:val="22"/>
        </w:rPr>
        <w:t xml:space="preserve"> </w:t>
      </w:r>
    </w:p>
    <w:p w14:paraId="4A23D0D7" w14:textId="77777777" w:rsidR="00E80268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3 Zoznam iných údajov boli v súlade s aktualizáciou č. 6 Číselníka merateľných ukazovateľov odstránené ukazovatele (kód D0191 a D0192),</w:t>
      </w:r>
    </w:p>
    <w:p w14:paraId="5B0FA0E5" w14:textId="77777777" w:rsidR="00E80268" w:rsidRPr="00C60C4E" w:rsidRDefault="00E80268" w:rsidP="00E8026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formálne úpravy</w:t>
      </w:r>
      <w:r w:rsidRPr="00C60C4E">
        <w:rPr>
          <w:rFonts w:ascii="Arial Narrow" w:hAnsi="Arial Narrow" w:cstheme="minorHAnsi"/>
          <w:sz w:val="22"/>
          <w:szCs w:val="22"/>
        </w:rPr>
        <w:t>.</w:t>
      </w:r>
    </w:p>
    <w:p w14:paraId="019C5467" w14:textId="77777777" w:rsidR="00E80268" w:rsidRPr="00C60C4E" w:rsidRDefault="00E80268" w:rsidP="00E8026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 – aktualizácia prílohy v súlade so Vzorom CKO č. 7, verzia 4 a formulárom vydaným Centrálnym kontaktným útvarom pre OLAF.</w:t>
      </w:r>
    </w:p>
    <w:p w14:paraId="06BB58F6" w14:textId="2495FA22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</w:p>
    <w:p w14:paraId="3A65F6AD" w14:textId="77777777" w:rsidR="007D77F1" w:rsidRPr="008D26BB" w:rsidRDefault="007D77F1" w:rsidP="007D77F1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74B51446" w14:textId="77777777" w:rsidR="007D77F1" w:rsidRPr="008D26BB" w:rsidRDefault="007D77F1" w:rsidP="007D77F1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61D7C1EE" w14:textId="77777777" w:rsidR="007D77F1" w:rsidRPr="008D26BB" w:rsidRDefault="007D77F1" w:rsidP="007D77F1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D37B515" w14:textId="77777777" w:rsidR="007D77F1" w:rsidRDefault="007D77F1" w:rsidP="007D77F1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lastRenderedPageBreak/>
        <w:t>Úplné znenie dokumentov dotknutých zmenou vo forme so sledovaním vykonaných zmien (s výnimkou dokumentov vo formáte xls./xlsx., kde je zverejnené nové znenie dokumentov v úplnom znení bez sledovania zmien) je zverejnené na webovom sídle RO OPII.</w:t>
      </w:r>
    </w:p>
    <w:p w14:paraId="718D7FB0" w14:textId="77777777" w:rsidR="00DC6289" w:rsidRPr="008D26BB" w:rsidRDefault="00DC6289" w:rsidP="00DC628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1A7BAB5" w14:textId="43F0377D" w:rsidR="000C08F6" w:rsidRPr="000C08F6" w:rsidRDefault="000C08F6" w:rsidP="00DC628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6383D" w14:textId="77777777" w:rsidR="00DF54D8" w:rsidRDefault="00DF54D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7454" w14:textId="77777777" w:rsidR="00DF54D8" w:rsidRDefault="00DF54D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DE27C" w14:textId="77777777" w:rsidR="00DF54D8" w:rsidRDefault="00DF54D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9F9FF" w14:textId="77777777" w:rsidR="00DF54D8" w:rsidRDefault="00DF54D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014AB412" w:rsidR="00D939EA" w:rsidRDefault="00DF54D8" w:rsidP="005478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9EABC9B" wp14:editId="2D52444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64E4E" w14:textId="77777777" w:rsidR="00547863" w:rsidRPr="00547863" w:rsidRDefault="00547863" w:rsidP="00547863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29E59" w14:textId="77777777" w:rsidR="00DF54D8" w:rsidRDefault="00DF54D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24ECC618"/>
    <w:lvl w:ilvl="0" w:tplc="1DC0C0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D1B0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C08F6"/>
    <w:rsid w:val="000C4014"/>
    <w:rsid w:val="001358BC"/>
    <w:rsid w:val="0017633B"/>
    <w:rsid w:val="0024608F"/>
    <w:rsid w:val="0025598F"/>
    <w:rsid w:val="00336623"/>
    <w:rsid w:val="0036751C"/>
    <w:rsid w:val="003765ED"/>
    <w:rsid w:val="0038595B"/>
    <w:rsid w:val="003C627D"/>
    <w:rsid w:val="00400C7F"/>
    <w:rsid w:val="00431A18"/>
    <w:rsid w:val="00453143"/>
    <w:rsid w:val="004654CB"/>
    <w:rsid w:val="004D1162"/>
    <w:rsid w:val="00502628"/>
    <w:rsid w:val="00547863"/>
    <w:rsid w:val="0056730E"/>
    <w:rsid w:val="005C184F"/>
    <w:rsid w:val="0063388A"/>
    <w:rsid w:val="006D76F3"/>
    <w:rsid w:val="006F6AEA"/>
    <w:rsid w:val="00716D18"/>
    <w:rsid w:val="007D77F1"/>
    <w:rsid w:val="007F20E3"/>
    <w:rsid w:val="008E04BB"/>
    <w:rsid w:val="009F7E19"/>
    <w:rsid w:val="00A055B9"/>
    <w:rsid w:val="00A21518"/>
    <w:rsid w:val="00A269FD"/>
    <w:rsid w:val="00A46BC1"/>
    <w:rsid w:val="00A77681"/>
    <w:rsid w:val="00AA3293"/>
    <w:rsid w:val="00AA3332"/>
    <w:rsid w:val="00B203AF"/>
    <w:rsid w:val="00B24D97"/>
    <w:rsid w:val="00B500C8"/>
    <w:rsid w:val="00BD6227"/>
    <w:rsid w:val="00C05209"/>
    <w:rsid w:val="00C713F6"/>
    <w:rsid w:val="00C85C87"/>
    <w:rsid w:val="00CF040A"/>
    <w:rsid w:val="00D0180E"/>
    <w:rsid w:val="00D102B6"/>
    <w:rsid w:val="00D556ED"/>
    <w:rsid w:val="00D6144F"/>
    <w:rsid w:val="00D939EA"/>
    <w:rsid w:val="00DC6289"/>
    <w:rsid w:val="00DF54D8"/>
    <w:rsid w:val="00E553C8"/>
    <w:rsid w:val="00E8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7768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77681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776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15</cp:revision>
  <dcterms:created xsi:type="dcterms:W3CDTF">2016-11-29T12:40:00Z</dcterms:created>
  <dcterms:modified xsi:type="dcterms:W3CDTF">2018-06-26T08:45:00Z</dcterms:modified>
</cp:coreProperties>
</file>